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Mar>
          <w:left w:w="0" w:type="dxa"/>
          <w:right w:w="0" w:type="dxa"/>
        </w:tblCellMar>
        <w:tblLook w:val="0000" w:firstRow="0" w:lastRow="0" w:firstColumn="0" w:lastColumn="0" w:noHBand="0" w:noVBand="0"/>
      </w:tblPr>
      <w:tblGrid>
        <w:gridCol w:w="8957"/>
      </w:tblGrid>
      <w:tr w:rsidR="00D51CD9" w:rsidRPr="00D51CD9" w14:paraId="01D5104B" w14:textId="77777777" w:rsidTr="00CF78C6">
        <w:tc>
          <w:tcPr>
            <w:tcW w:w="8957" w:type="dxa"/>
          </w:tcPr>
          <w:tbl>
            <w:tblPr>
              <w:tblW w:w="0" w:type="auto"/>
              <w:tblCellMar>
                <w:left w:w="0" w:type="dxa"/>
                <w:right w:w="0" w:type="dxa"/>
              </w:tblCellMar>
              <w:tblLook w:val="0000" w:firstRow="0" w:lastRow="0" w:firstColumn="0" w:lastColumn="0" w:noHBand="0" w:noVBand="0"/>
            </w:tblPr>
            <w:tblGrid>
              <w:gridCol w:w="3355"/>
              <w:gridCol w:w="5584"/>
            </w:tblGrid>
            <w:tr w:rsidR="00D51CD9" w:rsidRPr="00D51CD9" w14:paraId="46A7AC2E" w14:textId="77777777" w:rsidTr="00CF78C6">
              <w:trPr>
                <w:trHeight w:val="532"/>
              </w:trPr>
              <w:tc>
                <w:tcPr>
                  <w:tcW w:w="8939" w:type="dxa"/>
                  <w:gridSpan w:val="2"/>
                  <w:tcBorders>
                    <w:top w:val="single" w:sz="7" w:space="0" w:color="D3D3D3"/>
                    <w:left w:val="single" w:sz="7" w:space="0" w:color="D3D3D3"/>
                    <w:bottom w:val="single" w:sz="7" w:space="0" w:color="D3D3D3"/>
                    <w:right w:val="single" w:sz="7" w:space="0" w:color="D3D3D3"/>
                  </w:tcBorders>
                  <w:shd w:val="clear" w:color="auto" w:fill="A3CDF3"/>
                  <w:tcMar>
                    <w:top w:w="39" w:type="dxa"/>
                    <w:left w:w="39" w:type="dxa"/>
                    <w:bottom w:w="39" w:type="dxa"/>
                    <w:right w:w="39" w:type="dxa"/>
                  </w:tcMar>
                </w:tcPr>
                <w:p w14:paraId="2CD89134" w14:textId="77777777" w:rsidR="00D51CD9" w:rsidRPr="00D51CD9" w:rsidRDefault="00D51CD9" w:rsidP="00CF78C6">
                  <w:pPr>
                    <w:jc w:val="both"/>
                    <w:rPr>
                      <w:rFonts w:ascii="Calibri" w:hAnsi="Calibri" w:cs="Calibri"/>
                      <w:sz w:val="22"/>
                      <w:szCs w:val="22"/>
                    </w:rPr>
                  </w:pPr>
                  <w:bookmarkStart w:id="0" w:name="_GoBack"/>
                  <w:bookmarkEnd w:id="0"/>
                  <w:r w:rsidRPr="00D51CD9">
                    <w:rPr>
                      <w:rFonts w:ascii="Calibri" w:eastAsia="Calibri" w:hAnsi="Calibri" w:cs="Calibri"/>
                      <w:sz w:val="22"/>
                      <w:szCs w:val="22"/>
                    </w:rPr>
                    <w:t>OBRAZAC</w:t>
                  </w:r>
                </w:p>
                <w:p w14:paraId="0B473ACE" w14:textId="77777777" w:rsidR="00D51CD9" w:rsidRPr="00D51CD9" w:rsidRDefault="00D51CD9" w:rsidP="00CF78C6">
                  <w:pPr>
                    <w:jc w:val="both"/>
                    <w:rPr>
                      <w:rFonts w:ascii="Calibri" w:hAnsi="Calibri" w:cs="Calibri"/>
                      <w:sz w:val="22"/>
                      <w:szCs w:val="22"/>
                    </w:rPr>
                  </w:pPr>
                  <w:r w:rsidRPr="00D51CD9">
                    <w:rPr>
                      <w:rFonts w:ascii="Calibri" w:eastAsia="Calibri" w:hAnsi="Calibri" w:cs="Calibri"/>
                      <w:sz w:val="22"/>
                      <w:szCs w:val="22"/>
                    </w:rPr>
                    <w:t>IZVJEŠĆA O PROVEDENOM SAVJETOVANJU SA ZAINTERESIRANOM JAVNOŠĆU</w:t>
                  </w:r>
                </w:p>
              </w:tc>
            </w:tr>
            <w:tr w:rsidR="00D51CD9" w:rsidRPr="00D51CD9" w14:paraId="380ED674" w14:textId="77777777" w:rsidTr="00CF78C6">
              <w:trPr>
                <w:trHeight w:val="427"/>
              </w:trPr>
              <w:tc>
                <w:tcPr>
                  <w:tcW w:w="33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9853528" w14:textId="77777777" w:rsidR="00D51CD9" w:rsidRPr="00D51CD9" w:rsidRDefault="00D51CD9" w:rsidP="00CF78C6">
                  <w:pPr>
                    <w:rPr>
                      <w:rFonts w:ascii="Calibri" w:hAnsi="Calibri" w:cs="Calibri"/>
                      <w:sz w:val="22"/>
                      <w:szCs w:val="22"/>
                    </w:rPr>
                  </w:pPr>
                  <w:r w:rsidRPr="00D51CD9">
                    <w:rPr>
                      <w:rFonts w:ascii="Calibri" w:eastAsia="Calibri" w:hAnsi="Calibri" w:cs="Calibri"/>
                      <w:sz w:val="22"/>
                      <w:szCs w:val="22"/>
                    </w:rPr>
                    <w:t>Naslov dokumenta</w:t>
                  </w:r>
                </w:p>
              </w:tc>
              <w:tc>
                <w:tcPr>
                  <w:tcW w:w="55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6550E34" w14:textId="7FB02C91" w:rsidR="00D51CD9" w:rsidRPr="00D51CD9" w:rsidRDefault="00D51CD9" w:rsidP="00D51CD9">
                  <w:pPr>
                    <w:pStyle w:val="Bezproreda"/>
                    <w:ind w:left="0" w:firstLine="0"/>
                    <w:rPr>
                      <w:rFonts w:ascii="Calibri" w:hAnsi="Calibri" w:cs="Calibri"/>
                      <w:sz w:val="22"/>
                      <w:szCs w:val="22"/>
                    </w:rPr>
                  </w:pPr>
                  <w:r>
                    <w:rPr>
                      <w:rFonts w:ascii="Calibri" w:hAnsi="Calibri" w:cs="Calibri"/>
                      <w:sz w:val="22"/>
                      <w:szCs w:val="22"/>
                    </w:rPr>
                    <w:t xml:space="preserve">Pravilnik </w:t>
                  </w:r>
                  <w:r w:rsidRPr="00D51CD9">
                    <w:rPr>
                      <w:rFonts w:ascii="Calibri" w:hAnsi="Calibri" w:cs="Calibri"/>
                      <w:sz w:val="22"/>
                      <w:szCs w:val="22"/>
                    </w:rPr>
                    <w:t>o provedbi postupaka jednostavne nabave</w:t>
                  </w:r>
                </w:p>
              </w:tc>
            </w:tr>
            <w:tr w:rsidR="00D51CD9" w:rsidRPr="00D51CD9" w14:paraId="4F0C4E2B" w14:textId="77777777" w:rsidTr="00CF78C6">
              <w:trPr>
                <w:trHeight w:val="427"/>
              </w:trPr>
              <w:tc>
                <w:tcPr>
                  <w:tcW w:w="33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45F9D5" w14:textId="77777777" w:rsidR="00D51CD9" w:rsidRPr="00D51CD9" w:rsidRDefault="00D51CD9" w:rsidP="00CF78C6">
                  <w:pPr>
                    <w:rPr>
                      <w:rFonts w:ascii="Calibri" w:hAnsi="Calibri" w:cs="Calibri"/>
                      <w:sz w:val="22"/>
                      <w:szCs w:val="22"/>
                    </w:rPr>
                  </w:pPr>
                  <w:r w:rsidRPr="00D51CD9">
                    <w:rPr>
                      <w:rFonts w:ascii="Calibri" w:eastAsia="Calibri" w:hAnsi="Calibri" w:cs="Calibri"/>
                      <w:sz w:val="22"/>
                      <w:szCs w:val="22"/>
                    </w:rPr>
                    <w:t>Stvaratelj dokumenta, tijelo koje provodi savjetovanje</w:t>
                  </w:r>
                </w:p>
              </w:tc>
              <w:tc>
                <w:tcPr>
                  <w:tcW w:w="55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8E241E" w14:textId="4EE9D719" w:rsidR="00D51CD9" w:rsidRPr="00D51CD9" w:rsidRDefault="00D51CD9" w:rsidP="00CF78C6">
                  <w:pPr>
                    <w:jc w:val="both"/>
                    <w:rPr>
                      <w:rFonts w:ascii="Calibri" w:hAnsi="Calibri" w:cs="Calibri"/>
                      <w:sz w:val="22"/>
                      <w:szCs w:val="22"/>
                    </w:rPr>
                  </w:pPr>
                  <w:r w:rsidRPr="00D51CD9">
                    <w:rPr>
                      <w:rFonts w:ascii="Calibri" w:hAnsi="Calibri" w:cs="Calibri"/>
                      <w:sz w:val="22"/>
                      <w:szCs w:val="22"/>
                    </w:rPr>
                    <w:t>Grad Drniš</w:t>
                  </w:r>
                </w:p>
              </w:tc>
            </w:tr>
            <w:tr w:rsidR="00D51CD9" w:rsidRPr="00D51CD9" w14:paraId="2E07D349" w14:textId="77777777" w:rsidTr="00CF78C6">
              <w:trPr>
                <w:trHeight w:val="427"/>
              </w:trPr>
              <w:tc>
                <w:tcPr>
                  <w:tcW w:w="33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61F9519" w14:textId="77777777" w:rsidR="00D51CD9" w:rsidRPr="00D51CD9" w:rsidRDefault="00D51CD9" w:rsidP="00CF78C6">
                  <w:pPr>
                    <w:rPr>
                      <w:rFonts w:ascii="Calibri" w:hAnsi="Calibri" w:cs="Calibri"/>
                      <w:sz w:val="22"/>
                      <w:szCs w:val="22"/>
                    </w:rPr>
                  </w:pPr>
                  <w:r w:rsidRPr="00D51CD9">
                    <w:rPr>
                      <w:rFonts w:ascii="Calibri" w:hAnsi="Calibri" w:cs="Calibri"/>
                      <w:sz w:val="22"/>
                      <w:szCs w:val="22"/>
                    </w:rPr>
                    <w:t>Razlozi za donošenje akta i ciljevi koji se njime žele postići</w:t>
                  </w:r>
                </w:p>
              </w:tc>
              <w:tc>
                <w:tcPr>
                  <w:tcW w:w="55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2EC363"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Grad Drniš je javni naručitelj i obveznik primjene Zakona o javnoj nabavi kojim se uređuje sustav javne nabave u Republici Hrvatskoj, uključujući pravila za provedbu postupaka javne i jednostavne nabave.</w:t>
                  </w:r>
                </w:p>
                <w:p w14:paraId="680A8D78"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Važeći Pravilnik o provedbi postupaka jednostavne nabave Grada Drniša donesen je 2023. godine te ga je potrebno uskladiti s odredbama Zakona o javnoj nabavi („Narodne novine“, broj 120/16, 114/22 i 48/26), kojim su izmijenjena pravila provedbe postupaka jednostavne nabave.</w:t>
                  </w:r>
                </w:p>
                <w:p w14:paraId="77E232FF"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Izmjenama Zakona o javnoj nabavi iz 2026. godine, u dijelu koji se odnosi na jednostavnu nabavu, propisani su:</w:t>
                  </w:r>
                </w:p>
                <w:p w14:paraId="3BCB4AE3"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w:t>
                  </w:r>
                  <w:r w:rsidRPr="00D51CD9">
                    <w:rPr>
                      <w:rFonts w:ascii="Calibri" w:hAnsi="Calibri" w:cs="Calibri"/>
                      <w:sz w:val="22"/>
                      <w:szCs w:val="22"/>
                    </w:rPr>
                    <w:tab/>
                    <w:t>povećani pragovi za primjenu Zakona o javnoj nabavi, odnosno Zakon se ne primjenjuje na nabavu robe i usluga te provedbu projektnih natječaja procijenjene vrijednosti manje od 50.000,00 eura bez PDV-a te na nabavu radova procijenjene vrijednosti manje od 100.000,00 eura bez PDV-a;</w:t>
                  </w:r>
                </w:p>
                <w:p w14:paraId="0104AFD3"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w:t>
                  </w:r>
                  <w:r w:rsidRPr="00D51CD9">
                    <w:rPr>
                      <w:rFonts w:ascii="Calibri" w:hAnsi="Calibri" w:cs="Calibri"/>
                      <w:sz w:val="22"/>
                      <w:szCs w:val="22"/>
                    </w:rPr>
                    <w:tab/>
                    <w:t>obveza poštivanja načela javne nabave i odgovarajuće primjene odredbi o sprječavanju sukoba interesa i u postupcima jednostavne nabave;</w:t>
                  </w:r>
                </w:p>
                <w:p w14:paraId="2BD9DE76"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w:t>
                  </w:r>
                  <w:r w:rsidRPr="00D51CD9">
                    <w:rPr>
                      <w:rFonts w:ascii="Calibri" w:hAnsi="Calibri" w:cs="Calibri"/>
                      <w:sz w:val="22"/>
                      <w:szCs w:val="22"/>
                    </w:rPr>
                    <w:tab/>
                    <w:t>obveza provedbe određenih postupaka jednostavne nabave putem modula jednostavne nabave u Elektroničkom oglasniku javne nabave Republike Hrvatske (EOJN RH);</w:t>
                  </w:r>
                </w:p>
                <w:p w14:paraId="6038202B"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w:t>
                  </w:r>
                  <w:r w:rsidRPr="00D51CD9">
                    <w:rPr>
                      <w:rFonts w:ascii="Calibri" w:hAnsi="Calibri" w:cs="Calibri"/>
                      <w:sz w:val="22"/>
                      <w:szCs w:val="22"/>
                    </w:rPr>
                    <w:tab/>
                    <w:t>obveza osiguravanja odgovarajuće pravne zaštite u postupcima jednostavne nabave procijenjene vrijednosti veće od 15.000,00 eura;</w:t>
                  </w:r>
                </w:p>
                <w:p w14:paraId="64370C04"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w:t>
                  </w:r>
                  <w:r w:rsidRPr="00D51CD9">
                    <w:rPr>
                      <w:rFonts w:ascii="Calibri" w:hAnsi="Calibri" w:cs="Calibri"/>
                      <w:sz w:val="22"/>
                      <w:szCs w:val="22"/>
                    </w:rPr>
                    <w:tab/>
                    <w:t>obveza usklađivanja općih akata naručitelja kojima se uređuju pravila, uvjeti i postupci jednostavne nabave u roku od tri mjeseca od stupanja na snagu izmjena Zakona.</w:t>
                  </w:r>
                </w:p>
                <w:p w14:paraId="2ED4D750"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w:t>
                  </w:r>
                  <w:r w:rsidRPr="00D51CD9">
                    <w:rPr>
                      <w:rFonts w:ascii="Calibri" w:hAnsi="Calibri" w:cs="Calibri"/>
                      <w:sz w:val="22"/>
                      <w:szCs w:val="22"/>
                    </w:rPr>
                    <w:tab/>
                    <w:t>Izmjene koje se predlažu novim Pravilnikom.</w:t>
                  </w:r>
                </w:p>
                <w:p w14:paraId="3654D415" w14:textId="77777777" w:rsidR="00D51CD9" w:rsidRPr="00D51CD9" w:rsidRDefault="00D51CD9" w:rsidP="00D51CD9">
                  <w:pPr>
                    <w:jc w:val="both"/>
                    <w:rPr>
                      <w:rFonts w:ascii="Calibri" w:hAnsi="Calibri" w:cs="Calibri"/>
                      <w:sz w:val="22"/>
                      <w:szCs w:val="22"/>
                    </w:rPr>
                  </w:pPr>
                </w:p>
                <w:p w14:paraId="6F58F00F"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Predloženim Pravilnikom uređuju se pravila provedbe postupaka jednostavne nabave sukladno novom zakonskom okviru, uz cilj povećanja transparentnosti, tržišnog natjecanja, učinkovitosti provedbe postupaka te digitalizacije procesa jednostavne nabave.</w:t>
                  </w:r>
                </w:p>
                <w:p w14:paraId="41FE65C3" w14:textId="77777777" w:rsidR="00D51CD9" w:rsidRPr="00D51CD9" w:rsidRDefault="00D51CD9" w:rsidP="00D51CD9">
                  <w:pPr>
                    <w:jc w:val="both"/>
                    <w:rPr>
                      <w:rFonts w:ascii="Calibri" w:hAnsi="Calibri" w:cs="Calibri"/>
                      <w:sz w:val="22"/>
                      <w:szCs w:val="22"/>
                    </w:rPr>
                  </w:pPr>
                </w:p>
                <w:p w14:paraId="5792BC7C"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Pravilnikom se predlažu tri osnovna postupka jednostavne nabave:</w:t>
                  </w:r>
                </w:p>
                <w:p w14:paraId="3355C84D"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w:t>
                  </w:r>
                  <w:r w:rsidRPr="00D51CD9">
                    <w:rPr>
                      <w:rFonts w:ascii="Calibri" w:hAnsi="Calibri" w:cs="Calibri"/>
                      <w:sz w:val="22"/>
                      <w:szCs w:val="22"/>
                    </w:rPr>
                    <w:tab/>
                    <w:t>javno prikupljanje ponuda,</w:t>
                  </w:r>
                </w:p>
                <w:p w14:paraId="7CF1F0FC"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w:t>
                  </w:r>
                  <w:r w:rsidRPr="00D51CD9">
                    <w:rPr>
                      <w:rFonts w:ascii="Calibri" w:hAnsi="Calibri" w:cs="Calibri"/>
                      <w:sz w:val="22"/>
                      <w:szCs w:val="22"/>
                    </w:rPr>
                    <w:tab/>
                    <w:t>ograničeno prikupljanje ponuda,</w:t>
                  </w:r>
                </w:p>
                <w:p w14:paraId="68B6EA88"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w:t>
                  </w:r>
                  <w:r w:rsidRPr="00D51CD9">
                    <w:rPr>
                      <w:rFonts w:ascii="Calibri" w:hAnsi="Calibri" w:cs="Calibri"/>
                      <w:sz w:val="22"/>
                      <w:szCs w:val="22"/>
                    </w:rPr>
                    <w:tab/>
                    <w:t>izravno ugovaranje s jednim gospodarskim subjektom po vlastitom izboru.</w:t>
                  </w:r>
                </w:p>
                <w:p w14:paraId="4C504E54" w14:textId="77777777" w:rsidR="00D51CD9" w:rsidRPr="00D51CD9" w:rsidRDefault="00D51CD9" w:rsidP="00D51CD9">
                  <w:pPr>
                    <w:jc w:val="both"/>
                    <w:rPr>
                      <w:rFonts w:ascii="Calibri" w:hAnsi="Calibri" w:cs="Calibri"/>
                      <w:sz w:val="22"/>
                      <w:szCs w:val="22"/>
                    </w:rPr>
                  </w:pPr>
                </w:p>
                <w:p w14:paraId="3FD9CE13"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lastRenderedPageBreak/>
                    <w:t>U odnosu na važeći Pravilnik, predlažu se sljedeće najvažnije novosti:</w:t>
                  </w:r>
                </w:p>
                <w:p w14:paraId="21C37569"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w:t>
                  </w:r>
                  <w:r w:rsidRPr="00D51CD9">
                    <w:rPr>
                      <w:rFonts w:ascii="Calibri" w:hAnsi="Calibri" w:cs="Calibri"/>
                      <w:sz w:val="22"/>
                      <w:szCs w:val="22"/>
                    </w:rPr>
                    <w:tab/>
                    <w:t>postupci jednostavne nabave procijenjene vrijednosti manje od 5.000,00 eura provode se izravno putem narudžbenice te se ne planiraju u Planu nabave;</w:t>
                  </w:r>
                </w:p>
                <w:p w14:paraId="627C140F"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w:t>
                  </w:r>
                  <w:r w:rsidRPr="00D51CD9">
                    <w:rPr>
                      <w:rFonts w:ascii="Calibri" w:hAnsi="Calibri" w:cs="Calibri"/>
                      <w:sz w:val="22"/>
                      <w:szCs w:val="22"/>
                    </w:rPr>
                    <w:tab/>
                    <w:t>postupci jednostavne nabave procijenjene vrijednosti od 5.000,00 do 15.000,00 eura provode se primjenom elektroničkih sredstava komunikacije, uz mogućnost provedbe putem modula jednostavne nabave EOJN RH, a provode ih upravni odjeli iz čije je nadležnosti predmet nabave;</w:t>
                  </w:r>
                </w:p>
                <w:p w14:paraId="4D1A7843"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w:t>
                  </w:r>
                  <w:r w:rsidRPr="00D51CD9">
                    <w:rPr>
                      <w:rFonts w:ascii="Calibri" w:hAnsi="Calibri" w:cs="Calibri"/>
                      <w:sz w:val="22"/>
                      <w:szCs w:val="22"/>
                    </w:rPr>
                    <w:tab/>
                    <w:t>postupci jednostavne nabave procijenjene vrijednosti veće od 15.000,00 eura provode se putem modula jednostavne nabave EOJN RH, pri čemu postupke provodi Upravni odjel za gospodarstvo, financije i društvene djelatnosti, uz obvezno sudjelovanje stručnog povjerenstva i najmanje jedne osobe s važećim certifikatom iz područja javne nabave;</w:t>
                  </w:r>
                </w:p>
                <w:p w14:paraId="0B848300"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w:t>
                  </w:r>
                  <w:r w:rsidRPr="00D51CD9">
                    <w:rPr>
                      <w:rFonts w:ascii="Calibri" w:hAnsi="Calibri" w:cs="Calibri"/>
                      <w:sz w:val="22"/>
                      <w:szCs w:val="22"/>
                    </w:rPr>
                    <w:tab/>
                    <w:t>za nabavu robe i usluga procijenjene vrijednosti veće od 25.000,00 eura, odnosno radova procijenjene vrijednosti veće od 45.000,00 eura, uvodi se obvezna javna objava poziva za dostavu ponuda putem modula jednostavne nabave EOJN RH, čime se dodatno povećava transparentnost i tržišno natjecanje;</w:t>
                  </w:r>
                </w:p>
                <w:p w14:paraId="75A2569C"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w:t>
                  </w:r>
                  <w:r w:rsidRPr="00D51CD9">
                    <w:rPr>
                      <w:rFonts w:ascii="Calibri" w:hAnsi="Calibri" w:cs="Calibri"/>
                      <w:sz w:val="22"/>
                      <w:szCs w:val="22"/>
                    </w:rPr>
                    <w:tab/>
                    <w:t>uređuje se analiza tržišta, odgovarajuća primjena odredbi Zakona o javnoj nabavi, elektronička komunikacija, okvirni sporazumi te postupanje u slučaju izmjene i izvršenja ugovora;</w:t>
                  </w:r>
                </w:p>
                <w:p w14:paraId="6FE1A70A" w14:textId="77777777" w:rsidR="00D51CD9" w:rsidRPr="00D51CD9" w:rsidRDefault="00D51CD9" w:rsidP="00D51CD9">
                  <w:pPr>
                    <w:jc w:val="both"/>
                    <w:rPr>
                      <w:rFonts w:ascii="Calibri" w:hAnsi="Calibri" w:cs="Calibri"/>
                      <w:sz w:val="22"/>
                      <w:szCs w:val="22"/>
                    </w:rPr>
                  </w:pPr>
                  <w:r w:rsidRPr="00D51CD9">
                    <w:rPr>
                      <w:rFonts w:ascii="Calibri" w:hAnsi="Calibri" w:cs="Calibri"/>
                      <w:sz w:val="22"/>
                      <w:szCs w:val="22"/>
                    </w:rPr>
                    <w:t>•</w:t>
                  </w:r>
                  <w:r w:rsidRPr="00D51CD9">
                    <w:rPr>
                      <w:rFonts w:ascii="Calibri" w:hAnsi="Calibri" w:cs="Calibri"/>
                      <w:sz w:val="22"/>
                      <w:szCs w:val="22"/>
                    </w:rPr>
                    <w:tab/>
                    <w:t>uvodi se interni sustav pravne zaštite u postupcima jednostavne nabave procijenjene vrijednosti veće od 15.000,00 eura putem instituta prigovora, o kojem odlučuje gradonačelnik ili osobe koje on ovlasti, pri čemu osobe koje odlučuju o prigovoru ne smiju sudjelovati u provedbi postupka na koji se prigovor odnosi.</w:t>
                  </w:r>
                </w:p>
                <w:p w14:paraId="3ED21AF3" w14:textId="77777777" w:rsidR="00D51CD9" w:rsidRPr="00D51CD9" w:rsidRDefault="00D51CD9" w:rsidP="00D51CD9">
                  <w:pPr>
                    <w:jc w:val="both"/>
                    <w:rPr>
                      <w:rFonts w:ascii="Calibri" w:hAnsi="Calibri" w:cs="Calibri"/>
                      <w:sz w:val="22"/>
                      <w:szCs w:val="22"/>
                    </w:rPr>
                  </w:pPr>
                </w:p>
                <w:p w14:paraId="6D81F7AF" w14:textId="1D60C0E9" w:rsidR="00D51CD9" w:rsidRPr="00D51CD9" w:rsidRDefault="00D51CD9" w:rsidP="00D51CD9">
                  <w:pPr>
                    <w:jc w:val="both"/>
                    <w:rPr>
                      <w:rFonts w:ascii="Calibri" w:hAnsi="Calibri" w:cs="Calibri"/>
                      <w:sz w:val="22"/>
                      <w:szCs w:val="22"/>
                    </w:rPr>
                  </w:pPr>
                  <w:r w:rsidRPr="00D51CD9">
                    <w:rPr>
                      <w:rFonts w:ascii="Calibri" w:hAnsi="Calibri" w:cs="Calibri"/>
                      <w:sz w:val="22"/>
                      <w:szCs w:val="22"/>
                    </w:rPr>
                    <w:t>Donošenjem novog Pravilnika osigurat će se usklađenost s važećim Zakonom o javnoj nabavi, jedinstvena provedba postupaka jednostavne nabave u Gradu Drnišu te veća transparentnost, pravna sigurnost i učinkovitost u trošenju proračunskih sredstava.</w:t>
                  </w:r>
                </w:p>
              </w:tc>
            </w:tr>
            <w:tr w:rsidR="00D51CD9" w:rsidRPr="00D51CD9" w14:paraId="45557100" w14:textId="77777777" w:rsidTr="00CF78C6">
              <w:trPr>
                <w:trHeight w:val="427"/>
              </w:trPr>
              <w:tc>
                <w:tcPr>
                  <w:tcW w:w="33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4161C5" w14:textId="77777777" w:rsidR="00D51CD9" w:rsidRPr="00D51CD9" w:rsidRDefault="00D51CD9" w:rsidP="00CF78C6">
                  <w:pPr>
                    <w:rPr>
                      <w:rFonts w:ascii="Calibri" w:hAnsi="Calibri" w:cs="Calibri"/>
                      <w:sz w:val="22"/>
                      <w:szCs w:val="22"/>
                    </w:rPr>
                  </w:pPr>
                  <w:r w:rsidRPr="00D51CD9">
                    <w:rPr>
                      <w:rFonts w:ascii="Calibri" w:eastAsia="Calibri" w:hAnsi="Calibri" w:cs="Calibri"/>
                      <w:sz w:val="22"/>
                      <w:szCs w:val="22"/>
                    </w:rPr>
                    <w:lastRenderedPageBreak/>
                    <w:t>Datum dokumenta</w:t>
                  </w:r>
                </w:p>
              </w:tc>
              <w:tc>
                <w:tcPr>
                  <w:tcW w:w="55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50C2FE" w14:textId="0FA10319" w:rsidR="00D51CD9" w:rsidRPr="00D51CD9" w:rsidRDefault="00D51CD9" w:rsidP="00D51CD9">
                  <w:pPr>
                    <w:jc w:val="both"/>
                    <w:rPr>
                      <w:rFonts w:ascii="Calibri" w:hAnsi="Calibri" w:cs="Calibri"/>
                      <w:sz w:val="22"/>
                      <w:szCs w:val="22"/>
                    </w:rPr>
                  </w:pPr>
                  <w:r w:rsidRPr="00D51CD9">
                    <w:rPr>
                      <w:rFonts w:ascii="Calibri" w:hAnsi="Calibri" w:cs="Calibri"/>
                      <w:sz w:val="22"/>
                      <w:szCs w:val="22"/>
                    </w:rPr>
                    <w:t>31.srpnja 2026. godine</w:t>
                  </w:r>
                </w:p>
              </w:tc>
            </w:tr>
            <w:tr w:rsidR="00D51CD9" w:rsidRPr="00D51CD9" w14:paraId="7E3BBB1D" w14:textId="77777777" w:rsidTr="00CF78C6">
              <w:trPr>
                <w:trHeight w:val="427"/>
              </w:trPr>
              <w:tc>
                <w:tcPr>
                  <w:tcW w:w="33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9DCE7F6" w14:textId="77777777" w:rsidR="00D51CD9" w:rsidRPr="00D51CD9" w:rsidRDefault="00D51CD9" w:rsidP="00CF78C6">
                  <w:pPr>
                    <w:rPr>
                      <w:rFonts w:ascii="Calibri" w:hAnsi="Calibri" w:cs="Calibri"/>
                      <w:sz w:val="22"/>
                      <w:szCs w:val="22"/>
                    </w:rPr>
                  </w:pPr>
                  <w:r w:rsidRPr="00D51CD9">
                    <w:rPr>
                      <w:rFonts w:ascii="Calibri" w:eastAsia="Calibri" w:hAnsi="Calibri" w:cs="Calibri"/>
                      <w:sz w:val="22"/>
                      <w:szCs w:val="22"/>
                    </w:rPr>
                    <w:t>Verzija dokumenta</w:t>
                  </w:r>
                </w:p>
              </w:tc>
              <w:tc>
                <w:tcPr>
                  <w:tcW w:w="55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BBB5D7" w14:textId="4398C90B" w:rsidR="00D51CD9" w:rsidRPr="00D51CD9" w:rsidRDefault="00D51CD9" w:rsidP="00CF78C6">
                  <w:pPr>
                    <w:jc w:val="both"/>
                    <w:rPr>
                      <w:rFonts w:ascii="Calibri" w:hAnsi="Calibri" w:cs="Calibri"/>
                      <w:sz w:val="22"/>
                      <w:szCs w:val="22"/>
                    </w:rPr>
                  </w:pPr>
                  <w:r w:rsidRPr="00D51CD9">
                    <w:rPr>
                      <w:rFonts w:ascii="Calibri" w:hAnsi="Calibri" w:cs="Calibri"/>
                      <w:sz w:val="22"/>
                      <w:szCs w:val="22"/>
                    </w:rPr>
                    <w:t>I.</w:t>
                  </w:r>
                </w:p>
              </w:tc>
            </w:tr>
            <w:tr w:rsidR="00D51CD9" w:rsidRPr="00D51CD9" w14:paraId="26CFC9D9" w14:textId="77777777" w:rsidTr="00CF78C6">
              <w:trPr>
                <w:trHeight w:val="427"/>
              </w:trPr>
              <w:tc>
                <w:tcPr>
                  <w:tcW w:w="33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8648B6" w14:textId="77777777" w:rsidR="00D51CD9" w:rsidRPr="00D51CD9" w:rsidRDefault="00D51CD9" w:rsidP="00CF78C6">
                  <w:pPr>
                    <w:rPr>
                      <w:rFonts w:ascii="Calibri" w:hAnsi="Calibri" w:cs="Calibri"/>
                      <w:sz w:val="22"/>
                      <w:szCs w:val="22"/>
                    </w:rPr>
                  </w:pPr>
                  <w:r w:rsidRPr="00D51CD9">
                    <w:rPr>
                      <w:rFonts w:ascii="Calibri" w:eastAsia="Calibri" w:hAnsi="Calibri" w:cs="Calibri"/>
                      <w:sz w:val="22"/>
                      <w:szCs w:val="22"/>
                    </w:rPr>
                    <w:t>Vrsta dokumenta</w:t>
                  </w:r>
                </w:p>
              </w:tc>
              <w:tc>
                <w:tcPr>
                  <w:tcW w:w="55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EA04DA7" w14:textId="35E615C9" w:rsidR="00D51CD9" w:rsidRPr="00D51CD9" w:rsidRDefault="00D51CD9" w:rsidP="00CF78C6">
                  <w:pPr>
                    <w:jc w:val="both"/>
                    <w:rPr>
                      <w:rFonts w:ascii="Calibri" w:hAnsi="Calibri" w:cs="Calibri"/>
                      <w:sz w:val="22"/>
                      <w:szCs w:val="22"/>
                    </w:rPr>
                  </w:pPr>
                  <w:r w:rsidRPr="00D51CD9">
                    <w:rPr>
                      <w:rFonts w:ascii="Calibri" w:hAnsi="Calibri" w:cs="Calibri"/>
                      <w:sz w:val="22"/>
                      <w:szCs w:val="22"/>
                    </w:rPr>
                    <w:t>Pravilnik</w:t>
                  </w:r>
                </w:p>
              </w:tc>
            </w:tr>
            <w:tr w:rsidR="00D51CD9" w:rsidRPr="00D51CD9" w14:paraId="270290C3" w14:textId="77777777" w:rsidTr="00CF78C6">
              <w:trPr>
                <w:trHeight w:val="427"/>
              </w:trPr>
              <w:tc>
                <w:tcPr>
                  <w:tcW w:w="33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C7F5CEE" w14:textId="77777777" w:rsidR="00D51CD9" w:rsidRPr="00D51CD9" w:rsidRDefault="00D51CD9" w:rsidP="00CF78C6">
                  <w:pPr>
                    <w:rPr>
                      <w:rFonts w:ascii="Calibri" w:hAnsi="Calibri" w:cs="Calibri"/>
                      <w:sz w:val="22"/>
                      <w:szCs w:val="22"/>
                    </w:rPr>
                  </w:pPr>
                  <w:r w:rsidRPr="00D51CD9">
                    <w:rPr>
                      <w:rFonts w:ascii="Calibri" w:eastAsia="Calibri" w:hAnsi="Calibri" w:cs="Calibri"/>
                      <w:sz w:val="22"/>
                      <w:szCs w:val="22"/>
                    </w:rPr>
                    <w:t>Naziv tijela nadležnog za izradu nacrta</w:t>
                  </w:r>
                </w:p>
              </w:tc>
              <w:tc>
                <w:tcPr>
                  <w:tcW w:w="55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D1CDACD" w14:textId="55695F67" w:rsidR="00D51CD9" w:rsidRPr="00D51CD9" w:rsidRDefault="00D51CD9" w:rsidP="00CF78C6">
                  <w:pPr>
                    <w:jc w:val="both"/>
                    <w:rPr>
                      <w:rFonts w:ascii="Calibri" w:hAnsi="Calibri" w:cs="Calibri"/>
                      <w:sz w:val="22"/>
                      <w:szCs w:val="22"/>
                    </w:rPr>
                  </w:pPr>
                  <w:r w:rsidRPr="00D51CD9">
                    <w:rPr>
                      <w:rFonts w:ascii="Calibri" w:hAnsi="Calibri" w:cs="Calibri"/>
                      <w:sz w:val="22"/>
                      <w:szCs w:val="22"/>
                    </w:rPr>
                    <w:t>Upravni odjel za gospodarstvo, financije i društvene djelatnosti, Grad Drniš</w:t>
                  </w:r>
                </w:p>
              </w:tc>
            </w:tr>
            <w:tr w:rsidR="00D51CD9" w:rsidRPr="00D51CD9" w14:paraId="737205A8" w14:textId="77777777" w:rsidTr="00CF78C6">
              <w:trPr>
                <w:trHeight w:val="427"/>
              </w:trPr>
              <w:tc>
                <w:tcPr>
                  <w:tcW w:w="33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785BB6" w14:textId="77777777" w:rsidR="00D51CD9" w:rsidRPr="00D51CD9" w:rsidRDefault="00D51CD9" w:rsidP="00CF78C6">
                  <w:pPr>
                    <w:rPr>
                      <w:rFonts w:ascii="Calibri" w:hAnsi="Calibri" w:cs="Calibri"/>
                      <w:sz w:val="22"/>
                      <w:szCs w:val="22"/>
                    </w:rPr>
                  </w:pPr>
                  <w:r w:rsidRPr="00D51CD9">
                    <w:rPr>
                      <w:rFonts w:ascii="Calibri" w:eastAsia="Calibri" w:hAnsi="Calibri" w:cs="Calibri"/>
                      <w:sz w:val="22"/>
                      <w:szCs w:val="22"/>
                    </w:rPr>
                    <w:t>Koji su predstavnici zainteresirane javnosti bili uključeni u postupak izrade odnosno u rad stručne radne skupine za izradu nacrta?</w:t>
                  </w:r>
                </w:p>
              </w:tc>
              <w:tc>
                <w:tcPr>
                  <w:tcW w:w="55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C632AE9" w14:textId="40D4F044" w:rsidR="00D51CD9" w:rsidRPr="00D51CD9" w:rsidRDefault="00D51CD9" w:rsidP="00CF78C6">
                  <w:pPr>
                    <w:jc w:val="both"/>
                    <w:rPr>
                      <w:rFonts w:ascii="Calibri" w:hAnsi="Calibri" w:cs="Calibri"/>
                      <w:sz w:val="22"/>
                      <w:szCs w:val="22"/>
                    </w:rPr>
                  </w:pPr>
                  <w:r w:rsidRPr="00D51CD9">
                    <w:rPr>
                      <w:rFonts w:ascii="Calibri" w:hAnsi="Calibri" w:cs="Calibri"/>
                      <w:sz w:val="22"/>
                      <w:szCs w:val="22"/>
                    </w:rPr>
                    <w:t>U postupak izrade nacrta Pravilnika bili su uključeni službenici Gradske uprave Grada Drniša.</w:t>
                  </w:r>
                </w:p>
              </w:tc>
            </w:tr>
            <w:tr w:rsidR="00D51CD9" w:rsidRPr="00D51CD9" w14:paraId="3067A9BD" w14:textId="77777777" w:rsidTr="00CF78C6">
              <w:trPr>
                <w:trHeight w:val="427"/>
              </w:trPr>
              <w:tc>
                <w:tcPr>
                  <w:tcW w:w="33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4FF623" w14:textId="77777777" w:rsidR="00D51CD9" w:rsidRPr="00D51CD9" w:rsidRDefault="00D51CD9" w:rsidP="00CF78C6">
                  <w:pPr>
                    <w:rPr>
                      <w:rFonts w:ascii="Calibri" w:hAnsi="Calibri" w:cs="Calibri"/>
                      <w:sz w:val="22"/>
                      <w:szCs w:val="22"/>
                    </w:rPr>
                  </w:pPr>
                  <w:r w:rsidRPr="00D51CD9">
                    <w:rPr>
                      <w:rFonts w:ascii="Calibri" w:eastAsia="Calibri" w:hAnsi="Calibri" w:cs="Calibri"/>
                      <w:sz w:val="22"/>
                      <w:szCs w:val="22"/>
                    </w:rPr>
                    <w:lastRenderedPageBreak/>
                    <w:t>Je li nacrt bio objavljen na internetskim stranicama ili na drugi odgovarajući način?</w:t>
                  </w:r>
                  <w:r w:rsidRPr="00D51CD9">
                    <w:rPr>
                      <w:rFonts w:ascii="Calibri" w:eastAsia="Calibri" w:hAnsi="Calibri" w:cs="Calibri"/>
                      <w:sz w:val="22"/>
                      <w:szCs w:val="22"/>
                    </w:rPr>
                    <w:br/>
                  </w:r>
                  <w:r w:rsidRPr="00D51CD9">
                    <w:rPr>
                      <w:rFonts w:ascii="Calibri" w:eastAsia="Calibri" w:hAnsi="Calibri" w:cs="Calibri"/>
                      <w:sz w:val="22"/>
                      <w:szCs w:val="22"/>
                    </w:rPr>
                    <w:br/>
                    <w:t>Ako jest, kada je nacrt objavljen, na kojoj internetskoj stranici i koliko je vremena ostavljeno za savjetovanje?</w:t>
                  </w:r>
                  <w:r w:rsidRPr="00D51CD9">
                    <w:rPr>
                      <w:rFonts w:ascii="Calibri" w:eastAsia="Calibri" w:hAnsi="Calibri" w:cs="Calibri"/>
                      <w:sz w:val="22"/>
                      <w:szCs w:val="22"/>
                    </w:rPr>
                    <w:br/>
                  </w:r>
                  <w:r w:rsidRPr="00D51CD9">
                    <w:rPr>
                      <w:rFonts w:ascii="Calibri" w:eastAsia="Calibri" w:hAnsi="Calibri" w:cs="Calibri"/>
                      <w:sz w:val="22"/>
                      <w:szCs w:val="22"/>
                    </w:rPr>
                    <w:br/>
                    <w:t>Ako nije, zašto?</w:t>
                  </w:r>
                  <w:r w:rsidRPr="00D51CD9">
                    <w:rPr>
                      <w:rFonts w:ascii="Calibri" w:eastAsia="Calibri" w:hAnsi="Calibri" w:cs="Calibri"/>
                      <w:sz w:val="22"/>
                      <w:szCs w:val="22"/>
                    </w:rPr>
                    <w:br/>
                  </w:r>
                </w:p>
              </w:tc>
              <w:tc>
                <w:tcPr>
                  <w:tcW w:w="55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A2A383" w14:textId="35F7670A" w:rsidR="00D51CD9" w:rsidRPr="00D51CD9" w:rsidRDefault="00D51CD9" w:rsidP="00CF78C6">
                  <w:pPr>
                    <w:pStyle w:val="Bezproreda"/>
                    <w:ind w:left="0" w:firstLine="0"/>
                    <w:rPr>
                      <w:rFonts w:ascii="Calibri" w:hAnsi="Calibri" w:cs="Calibri"/>
                      <w:sz w:val="22"/>
                      <w:szCs w:val="22"/>
                    </w:rPr>
                  </w:pPr>
                  <w:r w:rsidRPr="00D51CD9">
                    <w:rPr>
                      <w:rFonts w:ascii="Calibri" w:hAnsi="Calibri" w:cs="Calibri"/>
                      <w:sz w:val="22"/>
                      <w:szCs w:val="22"/>
                    </w:rPr>
                    <w:t xml:space="preserve">Da, bio je na prethodnom savjetovanju od 30. lipnja 2026. godine do 30. srpnja 2026. godine na </w:t>
                  </w:r>
                  <w:hyperlink r:id="rId7" w:history="1">
                    <w:r w:rsidRPr="00D51CD9">
                      <w:rPr>
                        <w:rStyle w:val="Hiperveza"/>
                        <w:rFonts w:ascii="Calibri" w:hAnsi="Calibri" w:cs="Calibri"/>
                        <w:sz w:val="22"/>
                        <w:szCs w:val="22"/>
                      </w:rPr>
                      <w:t>https://www.drnis.hr/dokumenti/savjetovanje-s-javnoscu/5409-savjetovanje-sa-zainteresiranom-javnoscu-pravilnik-o-provedbi-postupaka-jednostavne-nabave</w:t>
                    </w:r>
                  </w:hyperlink>
                  <w:r w:rsidRPr="00D51CD9">
                    <w:rPr>
                      <w:rFonts w:ascii="Calibri" w:hAnsi="Calibri" w:cs="Calibri"/>
                      <w:sz w:val="22"/>
                      <w:szCs w:val="22"/>
                    </w:rPr>
                    <w:t xml:space="preserve"> </w:t>
                  </w:r>
                </w:p>
              </w:tc>
            </w:tr>
            <w:tr w:rsidR="00D51CD9" w:rsidRPr="00D51CD9" w14:paraId="05AF503B" w14:textId="77777777" w:rsidTr="00CF78C6">
              <w:trPr>
                <w:trHeight w:val="427"/>
              </w:trPr>
              <w:tc>
                <w:tcPr>
                  <w:tcW w:w="33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3E786A3" w14:textId="77777777" w:rsidR="00D51CD9" w:rsidRPr="00D51CD9" w:rsidRDefault="00D51CD9" w:rsidP="00CF78C6">
                  <w:pPr>
                    <w:rPr>
                      <w:rFonts w:ascii="Calibri" w:hAnsi="Calibri" w:cs="Calibri"/>
                      <w:sz w:val="22"/>
                      <w:szCs w:val="22"/>
                    </w:rPr>
                  </w:pPr>
                  <w:r w:rsidRPr="00D51CD9">
                    <w:rPr>
                      <w:rFonts w:ascii="Calibri" w:eastAsia="Calibri" w:hAnsi="Calibri" w:cs="Calibri"/>
                      <w:sz w:val="22"/>
                      <w:szCs w:val="22"/>
                    </w:rPr>
                    <w:t>Koji su predstavnici zainteresirane javnosti dostavili svoja očitovanja?</w:t>
                  </w:r>
                </w:p>
              </w:tc>
              <w:tc>
                <w:tcPr>
                  <w:tcW w:w="55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24DFED" w14:textId="463E5098" w:rsidR="00D51CD9" w:rsidRPr="00D51CD9" w:rsidRDefault="00D51CD9" w:rsidP="00CF78C6">
                  <w:pPr>
                    <w:jc w:val="both"/>
                    <w:rPr>
                      <w:rFonts w:ascii="Calibri" w:hAnsi="Calibri" w:cs="Calibri"/>
                      <w:sz w:val="22"/>
                      <w:szCs w:val="22"/>
                    </w:rPr>
                  </w:pPr>
                  <w:r w:rsidRPr="00D51CD9">
                    <w:rPr>
                      <w:rFonts w:ascii="Calibri" w:hAnsi="Calibri" w:cs="Calibri"/>
                      <w:sz w:val="22"/>
                      <w:szCs w:val="22"/>
                    </w:rPr>
                    <w:t>Nije bilo dostavljenih očitovanja.</w:t>
                  </w:r>
                </w:p>
              </w:tc>
            </w:tr>
            <w:tr w:rsidR="00D51CD9" w:rsidRPr="00D51CD9" w14:paraId="3CABC312" w14:textId="77777777" w:rsidTr="00CF78C6">
              <w:trPr>
                <w:trHeight w:val="427"/>
              </w:trPr>
              <w:tc>
                <w:tcPr>
                  <w:tcW w:w="33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1A5A5B3" w14:textId="77777777" w:rsidR="00D51CD9" w:rsidRPr="00D51CD9" w:rsidRDefault="00D51CD9" w:rsidP="00CF78C6">
                  <w:pPr>
                    <w:rPr>
                      <w:rFonts w:ascii="Calibri" w:hAnsi="Calibri" w:cs="Calibri"/>
                      <w:sz w:val="22"/>
                      <w:szCs w:val="22"/>
                    </w:rPr>
                  </w:pPr>
                  <w:r w:rsidRPr="00D51CD9">
                    <w:rPr>
                      <w:rFonts w:ascii="Calibri" w:eastAsia="Calibri" w:hAnsi="Calibri" w:cs="Calibri"/>
                      <w:sz w:val="22"/>
                      <w:szCs w:val="22"/>
                    </w:rPr>
                    <w:t>ANALIZA DOSTAVLJENIH PRIMJEDBI</w:t>
                  </w:r>
                  <w:r w:rsidRPr="00D51CD9">
                    <w:rPr>
                      <w:rFonts w:ascii="Calibri" w:eastAsia="Calibri" w:hAnsi="Calibri" w:cs="Calibri"/>
                      <w:sz w:val="22"/>
                      <w:szCs w:val="22"/>
                    </w:rPr>
                    <w:br/>
                  </w:r>
                  <w:r w:rsidRPr="00D51CD9">
                    <w:rPr>
                      <w:rFonts w:ascii="Calibri" w:eastAsia="Calibri" w:hAnsi="Calibri" w:cs="Calibri"/>
                      <w:sz w:val="22"/>
                      <w:szCs w:val="22"/>
                    </w:rPr>
                    <w:br/>
                    <w:t xml:space="preserve">Primjedbe koje su prihvaćene </w:t>
                  </w:r>
                  <w:r w:rsidRPr="00D51CD9">
                    <w:rPr>
                      <w:rFonts w:ascii="Calibri" w:eastAsia="Calibri" w:hAnsi="Calibri" w:cs="Calibri"/>
                      <w:sz w:val="22"/>
                      <w:szCs w:val="22"/>
                    </w:rPr>
                    <w:br/>
                  </w:r>
                  <w:r w:rsidRPr="00D51CD9">
                    <w:rPr>
                      <w:rFonts w:ascii="Calibri" w:eastAsia="Calibri" w:hAnsi="Calibri" w:cs="Calibri"/>
                      <w:sz w:val="22"/>
                      <w:szCs w:val="22"/>
                    </w:rPr>
                    <w:br/>
                  </w:r>
                </w:p>
              </w:tc>
              <w:tc>
                <w:tcPr>
                  <w:tcW w:w="55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AD29BB2" w14:textId="0D26AADF" w:rsidR="00D51CD9" w:rsidRPr="00D51CD9" w:rsidRDefault="00D51CD9" w:rsidP="00CF78C6">
                  <w:pPr>
                    <w:jc w:val="both"/>
                    <w:rPr>
                      <w:rFonts w:ascii="Calibri" w:hAnsi="Calibri" w:cs="Calibri"/>
                      <w:sz w:val="22"/>
                      <w:szCs w:val="22"/>
                    </w:rPr>
                  </w:pPr>
                  <w:r w:rsidRPr="00D51CD9">
                    <w:rPr>
                      <w:rFonts w:ascii="Calibri" w:hAnsi="Calibri" w:cs="Calibri"/>
                      <w:sz w:val="22"/>
                      <w:szCs w:val="22"/>
                    </w:rPr>
                    <w:t xml:space="preserve">Nije bilo dostavljenih primjedbi. </w:t>
                  </w:r>
                </w:p>
              </w:tc>
            </w:tr>
            <w:tr w:rsidR="00D51CD9" w:rsidRPr="00D51CD9" w14:paraId="1E531D3E" w14:textId="77777777" w:rsidTr="00CF78C6">
              <w:trPr>
                <w:trHeight w:val="427"/>
              </w:trPr>
              <w:tc>
                <w:tcPr>
                  <w:tcW w:w="33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467675A" w14:textId="77777777" w:rsidR="00D51CD9" w:rsidRPr="00D51CD9" w:rsidRDefault="00D51CD9" w:rsidP="00CF78C6">
                  <w:pPr>
                    <w:rPr>
                      <w:rFonts w:ascii="Calibri" w:eastAsia="Calibri" w:hAnsi="Calibri" w:cs="Calibri"/>
                      <w:sz w:val="22"/>
                      <w:szCs w:val="22"/>
                    </w:rPr>
                  </w:pPr>
                  <w:r w:rsidRPr="00D51CD9">
                    <w:rPr>
                      <w:rFonts w:ascii="Calibri" w:eastAsia="Calibri" w:hAnsi="Calibri" w:cs="Calibri"/>
                      <w:sz w:val="22"/>
                      <w:szCs w:val="22"/>
                    </w:rPr>
                    <w:t>Primjedbe koje nisu prihvaćene i obrazloženje razloga za neprihvaćanje</w:t>
                  </w:r>
                </w:p>
              </w:tc>
              <w:tc>
                <w:tcPr>
                  <w:tcW w:w="55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DF4AB0F" w14:textId="77777777" w:rsidR="00D51CD9" w:rsidRPr="00D51CD9" w:rsidRDefault="00D51CD9" w:rsidP="00CF78C6">
                  <w:pPr>
                    <w:jc w:val="both"/>
                    <w:rPr>
                      <w:rFonts w:ascii="Calibri" w:hAnsi="Calibri" w:cs="Calibri"/>
                      <w:sz w:val="22"/>
                      <w:szCs w:val="22"/>
                    </w:rPr>
                  </w:pPr>
                  <w:r w:rsidRPr="00D51CD9">
                    <w:rPr>
                      <w:rFonts w:ascii="Calibri" w:hAnsi="Calibri" w:cs="Calibri"/>
                      <w:sz w:val="22"/>
                      <w:szCs w:val="22"/>
                    </w:rPr>
                    <w:t>Nije primjenjivo.</w:t>
                  </w:r>
                </w:p>
              </w:tc>
            </w:tr>
            <w:tr w:rsidR="00D51CD9" w:rsidRPr="00D51CD9" w14:paraId="28280BD9" w14:textId="77777777" w:rsidTr="00CF78C6">
              <w:trPr>
                <w:trHeight w:val="427"/>
              </w:trPr>
              <w:tc>
                <w:tcPr>
                  <w:tcW w:w="33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958F3D" w14:textId="77777777" w:rsidR="00D51CD9" w:rsidRPr="00D51CD9" w:rsidRDefault="00D51CD9" w:rsidP="00CF78C6">
                  <w:pPr>
                    <w:rPr>
                      <w:rFonts w:ascii="Calibri" w:hAnsi="Calibri" w:cs="Calibri"/>
                      <w:sz w:val="22"/>
                      <w:szCs w:val="22"/>
                    </w:rPr>
                  </w:pPr>
                  <w:r w:rsidRPr="00D51CD9">
                    <w:rPr>
                      <w:rFonts w:ascii="Calibri" w:eastAsia="Calibri" w:hAnsi="Calibri" w:cs="Calibri"/>
                      <w:sz w:val="22"/>
                      <w:szCs w:val="22"/>
                    </w:rPr>
                    <w:t>Troškovi provedenog savjetovanja</w:t>
                  </w:r>
                </w:p>
              </w:tc>
              <w:tc>
                <w:tcPr>
                  <w:tcW w:w="55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5A50E73" w14:textId="77777777" w:rsidR="00D51CD9" w:rsidRPr="00D51CD9" w:rsidRDefault="00D51CD9" w:rsidP="00CF78C6">
                  <w:pPr>
                    <w:jc w:val="both"/>
                    <w:rPr>
                      <w:rFonts w:ascii="Calibri" w:hAnsi="Calibri" w:cs="Calibri"/>
                      <w:sz w:val="22"/>
                      <w:szCs w:val="22"/>
                    </w:rPr>
                  </w:pPr>
                  <w:r w:rsidRPr="00D51CD9">
                    <w:rPr>
                      <w:rFonts w:ascii="Calibri" w:eastAsia="Calibri" w:hAnsi="Calibri" w:cs="Calibri"/>
                      <w:sz w:val="22"/>
                      <w:szCs w:val="22"/>
                    </w:rPr>
                    <w:t xml:space="preserve">Provedba savjetovanja nije iziskivala financijske troškove </w:t>
                  </w:r>
                </w:p>
              </w:tc>
            </w:tr>
          </w:tbl>
          <w:p w14:paraId="235B54E8" w14:textId="77777777" w:rsidR="00D51CD9" w:rsidRPr="00D51CD9" w:rsidRDefault="00D51CD9" w:rsidP="00CF78C6">
            <w:pPr>
              <w:jc w:val="both"/>
              <w:rPr>
                <w:rFonts w:ascii="Calibri" w:hAnsi="Calibri" w:cs="Calibri"/>
                <w:sz w:val="22"/>
                <w:szCs w:val="22"/>
              </w:rPr>
            </w:pPr>
          </w:p>
        </w:tc>
      </w:tr>
      <w:tr w:rsidR="00D51CD9" w:rsidRPr="00D51CD9" w14:paraId="2B07C83D" w14:textId="77777777" w:rsidTr="00CF78C6">
        <w:trPr>
          <w:trHeight w:val="347"/>
        </w:trPr>
        <w:tc>
          <w:tcPr>
            <w:tcW w:w="8957" w:type="dxa"/>
          </w:tcPr>
          <w:p w14:paraId="65DEAFB6" w14:textId="77777777" w:rsidR="00D51CD9" w:rsidRPr="00D51CD9" w:rsidRDefault="00D51CD9" w:rsidP="00CF78C6">
            <w:pPr>
              <w:pStyle w:val="EmptyLayoutCell"/>
              <w:jc w:val="both"/>
              <w:rPr>
                <w:rFonts w:ascii="Calibri" w:hAnsi="Calibri" w:cs="Calibri"/>
                <w:sz w:val="22"/>
                <w:szCs w:val="22"/>
              </w:rPr>
            </w:pPr>
          </w:p>
        </w:tc>
      </w:tr>
    </w:tbl>
    <w:p w14:paraId="6499A4F3" w14:textId="77777777" w:rsidR="00D51CD9" w:rsidRDefault="00D51CD9" w:rsidP="00D51CD9">
      <w:pPr>
        <w:rPr>
          <w:rFonts w:ascii="Calibri" w:hAnsi="Calibri" w:cs="Calibri"/>
          <w:i/>
          <w:iCs/>
          <w:sz w:val="22"/>
          <w:szCs w:val="22"/>
        </w:rPr>
      </w:pPr>
      <w:r>
        <w:rPr>
          <w:rFonts w:ascii="Calibri" w:hAnsi="Calibri" w:cs="Calibri"/>
          <w:i/>
          <w:iCs/>
          <w:sz w:val="22"/>
          <w:szCs w:val="22"/>
        </w:rPr>
        <w:t>Izvješće o provedenom savjetovanju s javnošću objavljuje se na internetskim stranicama Grada Drniša www.drnis.hr.</w:t>
      </w:r>
    </w:p>
    <w:p w14:paraId="75048A9E" w14:textId="77777777" w:rsidR="00260095" w:rsidRDefault="00260095"/>
    <w:sectPr w:rsidR="00260095" w:rsidSect="00D51CD9">
      <w:headerReference w:type="default" r:id="rId8"/>
      <w:footerReference w:type="default" r:id="rId9"/>
      <w:pgSz w:w="11905" w:h="16837"/>
      <w:pgMar w:top="1440" w:right="1440" w:bottom="1440" w:left="1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54313" w14:textId="77777777" w:rsidR="002E470C" w:rsidRDefault="002E470C">
      <w:r>
        <w:separator/>
      </w:r>
    </w:p>
  </w:endnote>
  <w:endnote w:type="continuationSeparator" w:id="0">
    <w:p w14:paraId="7951B0CD" w14:textId="77777777" w:rsidR="002E470C" w:rsidRDefault="002E4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CellMar>
        <w:left w:w="0" w:type="dxa"/>
        <w:right w:w="0" w:type="dxa"/>
      </w:tblCellMar>
      <w:tblLook w:val="0000" w:firstRow="0" w:lastRow="0" w:firstColumn="0" w:lastColumn="0" w:noHBand="0" w:noVBand="0"/>
    </w:tblPr>
    <w:tblGrid>
      <w:gridCol w:w="3758"/>
      <w:gridCol w:w="1440"/>
      <w:gridCol w:w="3758"/>
    </w:tblGrid>
    <w:tr w:rsidR="00D51CD9" w14:paraId="2231645B" w14:textId="77777777">
      <w:tc>
        <w:tcPr>
          <w:tcW w:w="3758" w:type="dxa"/>
        </w:tcPr>
        <w:p w14:paraId="142C1868" w14:textId="77777777" w:rsidR="00D51CD9" w:rsidRDefault="00D51CD9">
          <w:pPr>
            <w:pStyle w:val="EmptyLayoutCell"/>
          </w:pPr>
        </w:p>
      </w:tc>
      <w:tc>
        <w:tcPr>
          <w:tcW w:w="1440" w:type="dxa"/>
        </w:tcPr>
        <w:p w14:paraId="7AB116D5" w14:textId="77777777" w:rsidR="00D51CD9" w:rsidRDefault="00D51CD9">
          <w:pPr>
            <w:pStyle w:val="EmptyLayoutCell"/>
          </w:pPr>
        </w:p>
      </w:tc>
      <w:tc>
        <w:tcPr>
          <w:tcW w:w="3758" w:type="dxa"/>
        </w:tcPr>
        <w:p w14:paraId="76C5ED66" w14:textId="77777777" w:rsidR="00D51CD9" w:rsidRDefault="00D51CD9">
          <w:pPr>
            <w:pStyle w:val="EmptyLayoutCell"/>
          </w:pPr>
        </w:p>
      </w:tc>
    </w:tr>
    <w:tr w:rsidR="00D51CD9" w14:paraId="057087ED" w14:textId="77777777">
      <w:tc>
        <w:tcPr>
          <w:tcW w:w="3758" w:type="dxa"/>
        </w:tcPr>
        <w:p w14:paraId="5BE3CC1A" w14:textId="77777777" w:rsidR="00D51CD9" w:rsidRDefault="00D51CD9">
          <w:pPr>
            <w:pStyle w:val="EmptyLayoutCell"/>
          </w:pPr>
        </w:p>
      </w:tc>
      <w:tc>
        <w:tcPr>
          <w:tcW w:w="1440" w:type="dxa"/>
        </w:tcPr>
        <w:tbl>
          <w:tblPr>
            <w:tblW w:w="0" w:type="auto"/>
            <w:tblCellMar>
              <w:left w:w="0" w:type="dxa"/>
              <w:right w:w="0" w:type="dxa"/>
            </w:tblCellMar>
            <w:tblLook w:val="0000" w:firstRow="0" w:lastRow="0" w:firstColumn="0" w:lastColumn="0" w:noHBand="0" w:noVBand="0"/>
          </w:tblPr>
          <w:tblGrid>
            <w:gridCol w:w="1440"/>
          </w:tblGrid>
          <w:tr w:rsidR="00D51CD9" w14:paraId="74ECE674" w14:textId="77777777">
            <w:trPr>
              <w:trHeight w:val="282"/>
            </w:trPr>
            <w:tc>
              <w:tcPr>
                <w:tcW w:w="1440" w:type="dxa"/>
                <w:tcMar>
                  <w:top w:w="39" w:type="dxa"/>
                  <w:left w:w="39" w:type="dxa"/>
                  <w:bottom w:w="39" w:type="dxa"/>
                  <w:right w:w="39" w:type="dxa"/>
                </w:tcMar>
              </w:tcPr>
              <w:p w14:paraId="4D19E181" w14:textId="77777777" w:rsidR="00D51CD9" w:rsidRDefault="00D51CD9">
                <w:r>
                  <w:rPr>
                    <w:rFonts w:ascii="Arial" w:eastAsia="Arial" w:hAnsi="Arial"/>
                    <w:color w:val="000000"/>
                  </w:rPr>
                  <w:fldChar w:fldCharType="begin"/>
                </w:r>
                <w:r>
                  <w:rPr>
                    <w:rFonts w:ascii="Arial" w:eastAsia="Arial" w:hAnsi="Arial"/>
                    <w:color w:val="000000"/>
                  </w:rPr>
                  <w:instrText xml:space="preserve"> PAGE </w:instrText>
                </w:r>
                <w:r>
                  <w:rPr>
                    <w:rFonts w:ascii="Arial" w:eastAsia="Arial" w:hAnsi="Arial"/>
                    <w:color w:val="000000"/>
                  </w:rPr>
                  <w:fldChar w:fldCharType="separate"/>
                </w:r>
                <w:r w:rsidR="00B759FC">
                  <w:rPr>
                    <w:rFonts w:ascii="Arial" w:eastAsia="Arial" w:hAnsi="Arial"/>
                    <w:noProof/>
                    <w:color w:val="000000"/>
                  </w:rPr>
                  <w:t>3</w:t>
                </w:r>
                <w:r>
                  <w:rPr>
                    <w:rFonts w:ascii="Arial" w:eastAsia="Arial" w:hAnsi="Arial"/>
                    <w:color w:val="000000"/>
                  </w:rPr>
                  <w:fldChar w:fldCharType="end"/>
                </w:r>
                <w:r>
                  <w:rPr>
                    <w:rFonts w:ascii="Arial" w:eastAsia="Arial" w:hAnsi="Arial"/>
                    <w:color w:val="000000"/>
                  </w:rPr>
                  <w:t>\</w:t>
                </w:r>
                <w:r>
                  <w:rPr>
                    <w:rFonts w:ascii="Arial" w:eastAsia="Arial" w:hAnsi="Arial"/>
                    <w:color w:val="000000"/>
                  </w:rPr>
                  <w:fldChar w:fldCharType="begin"/>
                </w:r>
                <w:r>
                  <w:rPr>
                    <w:rFonts w:ascii="Arial" w:eastAsia="Arial" w:hAnsi="Arial"/>
                    <w:color w:val="000000"/>
                  </w:rPr>
                  <w:instrText xml:space="preserve"> NUMPAGES </w:instrText>
                </w:r>
                <w:r>
                  <w:rPr>
                    <w:rFonts w:ascii="Arial" w:eastAsia="Arial" w:hAnsi="Arial"/>
                    <w:color w:val="000000"/>
                  </w:rPr>
                  <w:fldChar w:fldCharType="separate"/>
                </w:r>
                <w:r w:rsidR="00B759FC">
                  <w:rPr>
                    <w:rFonts w:ascii="Arial" w:eastAsia="Arial" w:hAnsi="Arial"/>
                    <w:noProof/>
                    <w:color w:val="000000"/>
                  </w:rPr>
                  <w:t>3</w:t>
                </w:r>
                <w:r>
                  <w:rPr>
                    <w:rFonts w:ascii="Arial" w:eastAsia="Arial" w:hAnsi="Arial"/>
                    <w:color w:val="000000"/>
                  </w:rPr>
                  <w:fldChar w:fldCharType="end"/>
                </w:r>
              </w:p>
            </w:tc>
          </w:tr>
        </w:tbl>
        <w:p w14:paraId="3F51F31E" w14:textId="77777777" w:rsidR="00D51CD9" w:rsidRDefault="00D51CD9"/>
      </w:tc>
      <w:tc>
        <w:tcPr>
          <w:tcW w:w="3758" w:type="dxa"/>
        </w:tcPr>
        <w:p w14:paraId="45E88CDB" w14:textId="77777777" w:rsidR="00D51CD9" w:rsidRDefault="00D51CD9">
          <w:pPr>
            <w:pStyle w:val="EmptyLayoutCell"/>
          </w:pPr>
        </w:p>
      </w:tc>
    </w:tr>
    <w:tr w:rsidR="00D51CD9" w14:paraId="35D2C68E" w14:textId="77777777">
      <w:tc>
        <w:tcPr>
          <w:tcW w:w="3758" w:type="dxa"/>
        </w:tcPr>
        <w:p w14:paraId="491B44D2" w14:textId="77777777" w:rsidR="00D51CD9" w:rsidRDefault="00D51CD9">
          <w:pPr>
            <w:pStyle w:val="EmptyLayoutCell"/>
          </w:pPr>
        </w:p>
      </w:tc>
      <w:tc>
        <w:tcPr>
          <w:tcW w:w="1440" w:type="dxa"/>
        </w:tcPr>
        <w:p w14:paraId="362C0F32" w14:textId="77777777" w:rsidR="00D51CD9" w:rsidRDefault="00D51CD9">
          <w:pPr>
            <w:pStyle w:val="EmptyLayoutCell"/>
          </w:pPr>
        </w:p>
      </w:tc>
      <w:tc>
        <w:tcPr>
          <w:tcW w:w="3758" w:type="dxa"/>
        </w:tcPr>
        <w:p w14:paraId="534FC203" w14:textId="77777777" w:rsidR="00D51CD9" w:rsidRDefault="00D51CD9">
          <w:pPr>
            <w:pStyle w:val="EmptyLayoutCell"/>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CAEF5" w14:textId="77777777" w:rsidR="002E470C" w:rsidRDefault="002E470C">
      <w:r>
        <w:separator/>
      </w:r>
    </w:p>
  </w:footnote>
  <w:footnote w:type="continuationSeparator" w:id="0">
    <w:p w14:paraId="3AD0C4FF" w14:textId="77777777" w:rsidR="002E470C" w:rsidRDefault="002E47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9E17B" w14:textId="77777777" w:rsidR="00D51CD9" w:rsidRDefault="00D51CD9">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1323C"/>
    <w:multiLevelType w:val="hybridMultilevel"/>
    <w:tmpl w:val="A2E24C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CD9"/>
    <w:rsid w:val="00260095"/>
    <w:rsid w:val="002E470C"/>
    <w:rsid w:val="00393B4A"/>
    <w:rsid w:val="006633A3"/>
    <w:rsid w:val="00817519"/>
    <w:rsid w:val="00B759FC"/>
    <w:rsid w:val="00C96A15"/>
    <w:rsid w:val="00D51CD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08B9C"/>
  <w15:chartTrackingRefBased/>
  <w15:docId w15:val="{C30BE87F-30BD-4EBF-BB36-062333A79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1CD9"/>
    <w:pPr>
      <w:spacing w:after="0" w:line="240" w:lineRule="auto"/>
    </w:pPr>
    <w:rPr>
      <w:rFonts w:ascii="Times New Roman" w:eastAsia="Times New Roman" w:hAnsi="Times New Roman" w:cs="Times New Roman"/>
      <w:kern w:val="0"/>
      <w:sz w:val="20"/>
      <w:szCs w:val="20"/>
      <w:lang w:val="en-US"/>
      <w14:ligatures w14:val="none"/>
    </w:rPr>
  </w:style>
  <w:style w:type="paragraph" w:styleId="Naslov1">
    <w:name w:val="heading 1"/>
    <w:basedOn w:val="Normal"/>
    <w:next w:val="Normal"/>
    <w:link w:val="Naslov1Char"/>
    <w:uiPriority w:val="9"/>
    <w:qFormat/>
    <w:rsid w:val="00D51CD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hr-HR"/>
      <w14:ligatures w14:val="standardContextual"/>
    </w:rPr>
  </w:style>
  <w:style w:type="paragraph" w:styleId="Naslov2">
    <w:name w:val="heading 2"/>
    <w:basedOn w:val="Normal"/>
    <w:next w:val="Normal"/>
    <w:link w:val="Naslov2Char"/>
    <w:uiPriority w:val="9"/>
    <w:semiHidden/>
    <w:unhideWhenUsed/>
    <w:qFormat/>
    <w:rsid w:val="00D51CD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hr-HR"/>
      <w14:ligatures w14:val="standardContextual"/>
    </w:rPr>
  </w:style>
  <w:style w:type="paragraph" w:styleId="Naslov3">
    <w:name w:val="heading 3"/>
    <w:basedOn w:val="Normal"/>
    <w:next w:val="Normal"/>
    <w:link w:val="Naslov3Char"/>
    <w:uiPriority w:val="9"/>
    <w:semiHidden/>
    <w:unhideWhenUsed/>
    <w:qFormat/>
    <w:rsid w:val="00D51CD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hr-HR"/>
      <w14:ligatures w14:val="standardContextual"/>
    </w:rPr>
  </w:style>
  <w:style w:type="paragraph" w:styleId="Naslov4">
    <w:name w:val="heading 4"/>
    <w:basedOn w:val="Normal"/>
    <w:next w:val="Normal"/>
    <w:link w:val="Naslov4Char"/>
    <w:uiPriority w:val="9"/>
    <w:semiHidden/>
    <w:unhideWhenUsed/>
    <w:qFormat/>
    <w:rsid w:val="00D51CD9"/>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hr-HR"/>
      <w14:ligatures w14:val="standardContextual"/>
    </w:rPr>
  </w:style>
  <w:style w:type="paragraph" w:styleId="Naslov5">
    <w:name w:val="heading 5"/>
    <w:basedOn w:val="Normal"/>
    <w:next w:val="Normal"/>
    <w:link w:val="Naslov5Char"/>
    <w:uiPriority w:val="9"/>
    <w:semiHidden/>
    <w:unhideWhenUsed/>
    <w:qFormat/>
    <w:rsid w:val="00D51CD9"/>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hr-HR"/>
      <w14:ligatures w14:val="standardContextual"/>
    </w:rPr>
  </w:style>
  <w:style w:type="paragraph" w:styleId="Naslov6">
    <w:name w:val="heading 6"/>
    <w:basedOn w:val="Normal"/>
    <w:next w:val="Normal"/>
    <w:link w:val="Naslov6Char"/>
    <w:uiPriority w:val="9"/>
    <w:semiHidden/>
    <w:unhideWhenUsed/>
    <w:qFormat/>
    <w:rsid w:val="00D51CD9"/>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hr-HR"/>
      <w14:ligatures w14:val="standardContextual"/>
    </w:rPr>
  </w:style>
  <w:style w:type="paragraph" w:styleId="Naslov7">
    <w:name w:val="heading 7"/>
    <w:basedOn w:val="Normal"/>
    <w:next w:val="Normal"/>
    <w:link w:val="Naslov7Char"/>
    <w:uiPriority w:val="9"/>
    <w:semiHidden/>
    <w:unhideWhenUsed/>
    <w:qFormat/>
    <w:rsid w:val="00D51CD9"/>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hr-HR"/>
      <w14:ligatures w14:val="standardContextual"/>
    </w:rPr>
  </w:style>
  <w:style w:type="paragraph" w:styleId="Naslov8">
    <w:name w:val="heading 8"/>
    <w:basedOn w:val="Normal"/>
    <w:next w:val="Normal"/>
    <w:link w:val="Naslov8Char"/>
    <w:uiPriority w:val="9"/>
    <w:semiHidden/>
    <w:unhideWhenUsed/>
    <w:qFormat/>
    <w:rsid w:val="00D51CD9"/>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hr-HR"/>
      <w14:ligatures w14:val="standardContextual"/>
    </w:rPr>
  </w:style>
  <w:style w:type="paragraph" w:styleId="Naslov9">
    <w:name w:val="heading 9"/>
    <w:basedOn w:val="Normal"/>
    <w:next w:val="Normal"/>
    <w:link w:val="Naslov9Char"/>
    <w:uiPriority w:val="9"/>
    <w:semiHidden/>
    <w:unhideWhenUsed/>
    <w:qFormat/>
    <w:rsid w:val="00D51CD9"/>
    <w:pPr>
      <w:keepNext/>
      <w:keepLines/>
      <w:spacing w:line="278" w:lineRule="auto"/>
      <w:outlineLvl w:val="8"/>
    </w:pPr>
    <w:rPr>
      <w:rFonts w:asciiTheme="minorHAnsi" w:eastAsiaTheme="majorEastAsia" w:hAnsiTheme="minorHAnsi" w:cstheme="majorBidi"/>
      <w:color w:val="272727" w:themeColor="text1" w:themeTint="D8"/>
      <w:kern w:val="2"/>
      <w:sz w:val="24"/>
      <w:szCs w:val="24"/>
      <w:lang w:val="hr-HR"/>
      <w14:ligatures w14:val="standardContextua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D51CD9"/>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D51CD9"/>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D51CD9"/>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D51CD9"/>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D51CD9"/>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D51CD9"/>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D51CD9"/>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D51CD9"/>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D51CD9"/>
    <w:rPr>
      <w:rFonts w:eastAsiaTheme="majorEastAsia" w:cstheme="majorBidi"/>
      <w:color w:val="272727" w:themeColor="text1" w:themeTint="D8"/>
    </w:rPr>
  </w:style>
  <w:style w:type="paragraph" w:styleId="Naslov">
    <w:name w:val="Title"/>
    <w:basedOn w:val="Normal"/>
    <w:next w:val="Normal"/>
    <w:link w:val="NaslovChar"/>
    <w:uiPriority w:val="10"/>
    <w:qFormat/>
    <w:rsid w:val="00D51CD9"/>
    <w:pPr>
      <w:spacing w:after="80"/>
      <w:contextualSpacing/>
    </w:pPr>
    <w:rPr>
      <w:rFonts w:asciiTheme="majorHAnsi" w:eastAsiaTheme="majorEastAsia" w:hAnsiTheme="majorHAnsi" w:cstheme="majorBidi"/>
      <w:spacing w:val="-10"/>
      <w:kern w:val="28"/>
      <w:sz w:val="56"/>
      <w:szCs w:val="56"/>
      <w:lang w:val="hr-HR"/>
      <w14:ligatures w14:val="standardContextual"/>
    </w:rPr>
  </w:style>
  <w:style w:type="character" w:customStyle="1" w:styleId="NaslovChar">
    <w:name w:val="Naslov Char"/>
    <w:basedOn w:val="Zadanifontodlomka"/>
    <w:link w:val="Naslov"/>
    <w:uiPriority w:val="10"/>
    <w:rsid w:val="00D51CD9"/>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D51CD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hr-HR"/>
      <w14:ligatures w14:val="standardContextual"/>
    </w:rPr>
  </w:style>
  <w:style w:type="character" w:customStyle="1" w:styleId="PodnaslovChar">
    <w:name w:val="Podnaslov Char"/>
    <w:basedOn w:val="Zadanifontodlomka"/>
    <w:link w:val="Podnaslov"/>
    <w:uiPriority w:val="11"/>
    <w:rsid w:val="00D51CD9"/>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51CD9"/>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hr-HR"/>
      <w14:ligatures w14:val="standardContextual"/>
    </w:rPr>
  </w:style>
  <w:style w:type="character" w:customStyle="1" w:styleId="CitatChar">
    <w:name w:val="Citat Char"/>
    <w:basedOn w:val="Zadanifontodlomka"/>
    <w:link w:val="Citat"/>
    <w:uiPriority w:val="29"/>
    <w:rsid w:val="00D51CD9"/>
    <w:rPr>
      <w:i/>
      <w:iCs/>
      <w:color w:val="404040" w:themeColor="text1" w:themeTint="BF"/>
    </w:rPr>
  </w:style>
  <w:style w:type="paragraph" w:styleId="Odlomakpopisa">
    <w:name w:val="List Paragraph"/>
    <w:basedOn w:val="Normal"/>
    <w:uiPriority w:val="34"/>
    <w:qFormat/>
    <w:rsid w:val="00D51CD9"/>
    <w:pPr>
      <w:spacing w:after="160" w:line="278" w:lineRule="auto"/>
      <w:ind w:left="720"/>
      <w:contextualSpacing/>
    </w:pPr>
    <w:rPr>
      <w:rFonts w:asciiTheme="minorHAnsi" w:eastAsiaTheme="minorHAnsi" w:hAnsiTheme="minorHAnsi" w:cstheme="minorBidi"/>
      <w:kern w:val="2"/>
      <w:sz w:val="24"/>
      <w:szCs w:val="24"/>
      <w:lang w:val="hr-HR"/>
      <w14:ligatures w14:val="standardContextual"/>
    </w:rPr>
  </w:style>
  <w:style w:type="character" w:styleId="Jakoisticanje">
    <w:name w:val="Intense Emphasis"/>
    <w:basedOn w:val="Zadanifontodlomka"/>
    <w:uiPriority w:val="21"/>
    <w:qFormat/>
    <w:rsid w:val="00D51CD9"/>
    <w:rPr>
      <w:i/>
      <w:iCs/>
      <w:color w:val="0F4761" w:themeColor="accent1" w:themeShade="BF"/>
    </w:rPr>
  </w:style>
  <w:style w:type="paragraph" w:styleId="Naglaencitat">
    <w:name w:val="Intense Quote"/>
    <w:basedOn w:val="Normal"/>
    <w:next w:val="Normal"/>
    <w:link w:val="NaglaencitatChar"/>
    <w:uiPriority w:val="30"/>
    <w:qFormat/>
    <w:rsid w:val="00D51CD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hr-HR"/>
      <w14:ligatures w14:val="standardContextual"/>
    </w:rPr>
  </w:style>
  <w:style w:type="character" w:customStyle="1" w:styleId="NaglaencitatChar">
    <w:name w:val="Naglašen citat Char"/>
    <w:basedOn w:val="Zadanifontodlomka"/>
    <w:link w:val="Naglaencitat"/>
    <w:uiPriority w:val="30"/>
    <w:rsid w:val="00D51CD9"/>
    <w:rPr>
      <w:i/>
      <w:iCs/>
      <w:color w:val="0F4761" w:themeColor="accent1" w:themeShade="BF"/>
    </w:rPr>
  </w:style>
  <w:style w:type="character" w:styleId="Istaknutareferenca">
    <w:name w:val="Intense Reference"/>
    <w:basedOn w:val="Zadanifontodlomka"/>
    <w:uiPriority w:val="32"/>
    <w:qFormat/>
    <w:rsid w:val="00D51CD9"/>
    <w:rPr>
      <w:b/>
      <w:bCs/>
      <w:smallCaps/>
      <w:color w:val="0F4761" w:themeColor="accent1" w:themeShade="BF"/>
      <w:spacing w:val="5"/>
    </w:rPr>
  </w:style>
  <w:style w:type="paragraph" w:customStyle="1" w:styleId="EmptyLayoutCell">
    <w:name w:val="EmptyLayoutCell"/>
    <w:basedOn w:val="Normal"/>
    <w:rsid w:val="00D51CD9"/>
    <w:rPr>
      <w:sz w:val="2"/>
    </w:rPr>
  </w:style>
  <w:style w:type="paragraph" w:styleId="Bezproreda">
    <w:name w:val="No Spacing"/>
    <w:uiPriority w:val="1"/>
    <w:qFormat/>
    <w:rsid w:val="00D51CD9"/>
    <w:pPr>
      <w:spacing w:after="0" w:line="240" w:lineRule="auto"/>
      <w:ind w:left="115" w:right="43" w:firstLine="9"/>
      <w:jc w:val="both"/>
    </w:pPr>
    <w:rPr>
      <w:rFonts w:ascii="Times New Roman" w:eastAsia="Times New Roman" w:hAnsi="Times New Roman" w:cs="Times New Roman"/>
      <w:color w:val="000000"/>
      <w:lang w:eastAsia="hr-HR"/>
      <w14:ligatures w14:val="none"/>
    </w:rPr>
  </w:style>
  <w:style w:type="character" w:styleId="Hiperveza">
    <w:name w:val="Hyperlink"/>
    <w:basedOn w:val="Zadanifontodlomka"/>
    <w:uiPriority w:val="99"/>
    <w:unhideWhenUsed/>
    <w:rsid w:val="00D51CD9"/>
    <w:rPr>
      <w:color w:val="467886" w:themeColor="hyperlink"/>
      <w:u w:val="single"/>
    </w:rPr>
  </w:style>
  <w:style w:type="character" w:customStyle="1" w:styleId="UnresolvedMention">
    <w:name w:val="Unresolved Mention"/>
    <w:basedOn w:val="Zadanifontodlomka"/>
    <w:uiPriority w:val="99"/>
    <w:semiHidden/>
    <w:unhideWhenUsed/>
    <w:rsid w:val="00D51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drnis.hr/dokumenti/savjetovanje-s-javnoscu/5409-savjetovanje-sa-zainteresiranom-javnoscu-pravilnik-o-provedbi-postupaka-jednostavne-nabav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851</Words>
  <Characters>4851</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Sučić</dc:creator>
  <cp:keywords/>
  <dc:description/>
  <cp:lastModifiedBy>Marija Lovrić</cp:lastModifiedBy>
  <cp:revision>2</cp:revision>
  <dcterms:created xsi:type="dcterms:W3CDTF">2026-08-11T09:34:00Z</dcterms:created>
  <dcterms:modified xsi:type="dcterms:W3CDTF">2026-08-11T09:34:00Z</dcterms:modified>
</cp:coreProperties>
</file>